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2260" w14:textId="77777777" w:rsidR="00A668CC" w:rsidRPr="00E7370A" w:rsidRDefault="001B33A6">
      <w:pPr>
        <w:pStyle w:val="31"/>
        <w:ind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Титульний аркуш Повідомлення</w:t>
      </w:r>
    </w:p>
    <w:p w14:paraId="7BA99D87" w14:textId="77777777" w:rsidR="001B33A6" w:rsidRDefault="001B33A6">
      <w:pPr>
        <w:pStyle w:val="3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(Повідомлення про інформацію) </w:t>
      </w:r>
    </w:p>
    <w:p w14:paraId="350D5062" w14:textId="77777777" w:rsidR="001B33A6" w:rsidRPr="00FF18CA" w:rsidRDefault="001B33A6">
      <w:pPr>
        <w:pStyle w:val="31"/>
        <w:ind w:firstLine="0"/>
        <w:rPr>
          <w:b/>
          <w:bCs/>
          <w:sz w:val="20"/>
          <w:szCs w:val="20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BA2213" w:rsidRPr="00B55B27" w14:paraId="3734877F" w14:textId="77777777" w:rsidTr="00BA2213">
        <w:tc>
          <w:tcPr>
            <w:tcW w:w="3510" w:type="dxa"/>
            <w:tcBorders>
              <w:bottom w:val="single" w:sz="4" w:space="0" w:color="auto"/>
            </w:tcBorders>
          </w:tcPr>
          <w:p w14:paraId="5AD1A1AE" w14:textId="77777777" w:rsidR="00BA2213" w:rsidRPr="00B55B27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B55B27">
              <w:rPr>
                <w:sz w:val="24"/>
                <w:szCs w:val="24"/>
                <w:lang w:val="en-US"/>
              </w:rPr>
              <w:t>12.10.2021</w:t>
            </w:r>
          </w:p>
        </w:tc>
      </w:tr>
      <w:tr w:rsidR="00BA2213" w:rsidRPr="00B55B27" w14:paraId="0B12F91D" w14:textId="77777777" w:rsidTr="00BA2213">
        <w:tc>
          <w:tcPr>
            <w:tcW w:w="3510" w:type="dxa"/>
            <w:tcBorders>
              <w:top w:val="single" w:sz="4" w:space="0" w:color="auto"/>
            </w:tcBorders>
          </w:tcPr>
          <w:p w14:paraId="753EF391" w14:textId="77777777" w:rsidR="00BA2213" w:rsidRPr="00B55B27" w:rsidRDefault="00BA2213" w:rsidP="00BA2213">
            <w:pPr>
              <w:tabs>
                <w:tab w:val="left" w:pos="5137"/>
              </w:tabs>
              <w:rPr>
                <w:sz w:val="24"/>
                <w:szCs w:val="24"/>
              </w:rPr>
            </w:pPr>
            <w:r w:rsidRPr="00B55B27">
              <w:rPr>
                <w:sz w:val="24"/>
                <w:szCs w:val="24"/>
              </w:rPr>
              <w:t>(дата реєстрації емітентом електронного документа)</w:t>
            </w:r>
          </w:p>
        </w:tc>
      </w:tr>
      <w:tr w:rsidR="00BA2213" w:rsidRPr="00B55B27" w14:paraId="75DA7E11" w14:textId="77777777" w:rsidTr="00BA2213">
        <w:tc>
          <w:tcPr>
            <w:tcW w:w="3510" w:type="dxa"/>
            <w:tcBorders>
              <w:bottom w:val="single" w:sz="4" w:space="0" w:color="auto"/>
            </w:tcBorders>
          </w:tcPr>
          <w:p w14:paraId="71EB95B0" w14:textId="77777777" w:rsidR="00BA2213" w:rsidRPr="00B55B27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B55B27">
              <w:rPr>
                <w:sz w:val="24"/>
                <w:szCs w:val="24"/>
                <w:lang w:val="ru-RU"/>
              </w:rPr>
              <w:t xml:space="preserve">№ </w:t>
            </w:r>
            <w:r w:rsidRPr="00B55B27">
              <w:rPr>
                <w:sz w:val="24"/>
                <w:szCs w:val="24"/>
                <w:lang w:val="en-US"/>
              </w:rPr>
              <w:t>261</w:t>
            </w:r>
          </w:p>
        </w:tc>
      </w:tr>
      <w:tr w:rsidR="00BA2213" w:rsidRPr="00B55B27" w14:paraId="14565071" w14:textId="77777777" w:rsidTr="00BA2213">
        <w:tc>
          <w:tcPr>
            <w:tcW w:w="3510" w:type="dxa"/>
            <w:tcBorders>
              <w:top w:val="single" w:sz="4" w:space="0" w:color="auto"/>
            </w:tcBorders>
          </w:tcPr>
          <w:p w14:paraId="5A233933" w14:textId="77777777" w:rsidR="00BA2213" w:rsidRPr="00B55B27" w:rsidRDefault="00BA2213" w:rsidP="00BA2213">
            <w:pPr>
              <w:rPr>
                <w:sz w:val="24"/>
                <w:szCs w:val="24"/>
              </w:rPr>
            </w:pPr>
            <w:r w:rsidRPr="00B55B27">
              <w:rPr>
                <w:sz w:val="24"/>
                <w:szCs w:val="24"/>
              </w:rPr>
              <w:t>(вихідний реєстраційний номер електронного документа)</w:t>
            </w:r>
          </w:p>
        </w:tc>
      </w:tr>
    </w:tbl>
    <w:p w14:paraId="4E58BCA4" w14:textId="77777777" w:rsidR="00AE7CE9" w:rsidRPr="00E7370A" w:rsidRDefault="00AE7CE9" w:rsidP="008A1D83">
      <w:pPr>
        <w:ind w:right="3968"/>
        <w:jc w:val="both"/>
        <w:rPr>
          <w:lang w:val="ru-RU"/>
        </w:rPr>
      </w:pPr>
    </w:p>
    <w:p w14:paraId="3D49C542" w14:textId="77777777" w:rsidR="001B33A6" w:rsidRPr="00E7370A" w:rsidRDefault="008A1D83" w:rsidP="008A1D83">
      <w:pPr>
        <w:ind w:right="-1"/>
        <w:jc w:val="both"/>
        <w:rPr>
          <w:sz w:val="24"/>
          <w:szCs w:val="24"/>
          <w:lang w:val="ru-RU"/>
        </w:rPr>
      </w:pPr>
      <w:r w:rsidRPr="00B55B27">
        <w:rPr>
          <w:sz w:val="24"/>
          <w:szCs w:val="24"/>
        </w:rPr>
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</w:t>
      </w:r>
      <w:r w:rsidRPr="00E7370A">
        <w:rPr>
          <w:sz w:val="24"/>
          <w:szCs w:val="24"/>
          <w:lang w:val="ru-RU"/>
        </w:rPr>
        <w:t>.</w:t>
      </w:r>
    </w:p>
    <w:p w14:paraId="52213B1C" w14:textId="77777777" w:rsidR="001B33A6" w:rsidRPr="00E7370A" w:rsidRDefault="001B33A6">
      <w:pPr>
        <w:pStyle w:val="31"/>
        <w:ind w:firstLine="0"/>
        <w:rPr>
          <w:b/>
          <w:bCs/>
          <w:sz w:val="20"/>
          <w:szCs w:val="20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268"/>
        <w:gridCol w:w="284"/>
        <w:gridCol w:w="3685"/>
      </w:tblGrid>
      <w:tr w:rsidR="001B33A6" w14:paraId="50D39A54" w14:textId="77777777" w:rsidTr="00BA2213">
        <w:trPr>
          <w:trHeight w:val="24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57B9C" w14:textId="77777777"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Голова правлiння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C3F2BB" w14:textId="77777777" w:rsidR="001B33A6" w:rsidRDefault="001B33A6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3A85B" w14:textId="77777777"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9E7C49" w14:textId="77777777" w:rsidR="001B33A6" w:rsidRDefault="001B33A6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C31B" w14:textId="77777777"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Чернишенко Володимир Iллiч</w:t>
            </w:r>
          </w:p>
        </w:tc>
      </w:tr>
      <w:tr w:rsidR="00BA2213" w:rsidRPr="00E7370A" w14:paraId="30E58DB7" w14:textId="77777777" w:rsidTr="0015698C">
        <w:trPr>
          <w:cantSplit/>
          <w:trHeight w:val="379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47935" w14:textId="77777777" w:rsidR="00BA2213" w:rsidRDefault="00BA221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(посада)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3AC749" w14:textId="77777777" w:rsidR="00BA2213" w:rsidRDefault="00BA221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C1DFA" w14:textId="77777777" w:rsidR="00BA2213" w:rsidRDefault="00BA2213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6CD38" w14:textId="77777777" w:rsidR="00BA2213" w:rsidRDefault="00BA221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14:paraId="07CBCF8A" w14:textId="77777777" w:rsidR="00BA2213" w:rsidRPr="00E7370A" w:rsidRDefault="00BA2213">
            <w:pPr>
              <w:jc w:val="center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(прізвище та ініціали керівника</w:t>
            </w:r>
            <w:r w:rsidR="00E746E7" w:rsidRPr="00E746E7">
              <w:rPr>
                <w:sz w:val="18"/>
                <w:szCs w:val="18"/>
              </w:rPr>
              <w:t xml:space="preserve"> або уповноваженої особи емітента</w:t>
            </w:r>
            <w:r>
              <w:rPr>
                <w:sz w:val="18"/>
                <w:szCs w:val="18"/>
              </w:rPr>
              <w:t>)</w:t>
            </w:r>
          </w:p>
        </w:tc>
      </w:tr>
      <w:tr w:rsidR="001B33A6" w14:paraId="0A42DFFC" w14:textId="77777777" w:rsidTr="00BA2213">
        <w:tblPrEx>
          <w:tblCellMar>
            <w:left w:w="30" w:type="dxa"/>
            <w:right w:w="30" w:type="dxa"/>
          </w:tblCellMar>
        </w:tblPrEx>
        <w:trPr>
          <w:trHeight w:val="53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7A823D" w14:textId="77777777" w:rsidR="001B33A6" w:rsidRPr="00095537" w:rsidRDefault="00095537">
            <w:pPr>
              <w:pStyle w:val="1"/>
            </w:pPr>
            <w:r w:rsidRPr="00095537">
              <w:t>Особлива інформація (інформація про іпотечні цінні папери, сертифікати фонду операцій з нерухомістю) емітента</w:t>
            </w:r>
          </w:p>
          <w:p w14:paraId="03E3596C" w14:textId="77777777" w:rsidR="001B33A6" w:rsidRDefault="001B33A6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Прийняття рішення про надання згоди на вчинення правочинів, щодо вчинення яких є заінтересованість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14:paraId="43EA3011" w14:textId="77777777" w:rsidR="001B33A6" w:rsidRDefault="001B33A6" w:rsidP="00AE02A0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Загальні відомості</w:t>
            </w:r>
          </w:p>
        </w:tc>
      </w:tr>
    </w:tbl>
    <w:p w14:paraId="429777ED" w14:textId="77777777" w:rsidR="001B33A6" w:rsidRDefault="001B33A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1. Повне найменування емітента: ПРИВАТНЕ АКЦIОНЕРНЕ ТОВАРИСТВО "КОМБIНАТ "ТЕПЛИЧНИЙ"</w:t>
      </w:r>
    </w:p>
    <w:p w14:paraId="47E08D79" w14:textId="77777777" w:rsidR="001B33A6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>2. Організаційно-правова форма</w:t>
      </w:r>
      <w:r>
        <w:rPr>
          <w:sz w:val="28"/>
          <w:szCs w:val="28"/>
          <w:lang w:val="ru-RU"/>
        </w:rPr>
        <w:t>: Приватне акціонерне товариство</w:t>
      </w:r>
    </w:p>
    <w:p w14:paraId="0CA034A6" w14:textId="77777777" w:rsidR="001B33A6" w:rsidRDefault="001B33A6">
      <w:pPr>
        <w:pStyle w:val="a4"/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</w:rPr>
        <w:t>3. Місцезнаходження</w:t>
      </w:r>
      <w:r>
        <w:rPr>
          <w:sz w:val="28"/>
          <w:szCs w:val="28"/>
          <w:lang w:val="en-US"/>
        </w:rPr>
        <w:t>: 07443</w:t>
      </w:r>
      <w:r w:rsidR="000B4697">
        <w:rPr>
          <w:sz w:val="28"/>
          <w:szCs w:val="28"/>
          <w:lang w:val="en-US"/>
        </w:rPr>
        <w:t>, Київська,</w:t>
      </w:r>
      <w:r>
        <w:rPr>
          <w:sz w:val="28"/>
          <w:szCs w:val="28"/>
          <w:lang w:val="en-US"/>
        </w:rPr>
        <w:t xml:space="preserve"> Броварський район, селище мiського типу Калинiвка</w:t>
      </w:r>
      <w:r w:rsidR="000B469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ВУЛ.ТЕПЛИЧНА, будинок 2</w:t>
      </w:r>
    </w:p>
    <w:p w14:paraId="79108809" w14:textId="77777777" w:rsidR="001B33A6" w:rsidRDefault="001B33A6">
      <w:pPr>
        <w:pStyle w:val="a4"/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</w:t>
      </w:r>
      <w:r w:rsidR="007A4F01" w:rsidRPr="007A4F01">
        <w:rPr>
          <w:sz w:val="28"/>
          <w:szCs w:val="28"/>
          <w:lang w:val="ru-RU"/>
        </w:rPr>
        <w:t>Ідентифікаційний</w:t>
      </w:r>
      <w:r w:rsidR="007A4F01" w:rsidRPr="00E7370A">
        <w:rPr>
          <w:sz w:val="28"/>
          <w:szCs w:val="28"/>
          <w:lang w:val="en-US"/>
        </w:rPr>
        <w:t xml:space="preserve"> </w:t>
      </w:r>
      <w:r w:rsidR="007A4F01" w:rsidRPr="007A4F01">
        <w:rPr>
          <w:sz w:val="28"/>
          <w:szCs w:val="28"/>
          <w:lang w:val="ru-RU"/>
        </w:rPr>
        <w:t>код</w:t>
      </w:r>
      <w:r w:rsidR="007A4F01" w:rsidRPr="00E7370A">
        <w:rPr>
          <w:sz w:val="28"/>
          <w:szCs w:val="28"/>
          <w:lang w:val="en-US"/>
        </w:rPr>
        <w:t xml:space="preserve"> </w:t>
      </w:r>
      <w:r w:rsidR="007A4F01" w:rsidRPr="007A4F01">
        <w:rPr>
          <w:sz w:val="28"/>
          <w:szCs w:val="28"/>
          <w:lang w:val="ru-RU"/>
        </w:rPr>
        <w:t>юридичної</w:t>
      </w:r>
      <w:r w:rsidR="007A4F01" w:rsidRPr="00E7370A">
        <w:rPr>
          <w:sz w:val="28"/>
          <w:szCs w:val="28"/>
          <w:lang w:val="en-US"/>
        </w:rPr>
        <w:t xml:space="preserve"> </w:t>
      </w:r>
      <w:r w:rsidR="007A4F01" w:rsidRPr="007A4F01">
        <w:rPr>
          <w:sz w:val="28"/>
          <w:szCs w:val="28"/>
          <w:lang w:val="ru-RU"/>
        </w:rPr>
        <w:t>особи</w:t>
      </w:r>
      <w:r>
        <w:rPr>
          <w:sz w:val="28"/>
          <w:szCs w:val="28"/>
          <w:lang w:val="en-US"/>
        </w:rPr>
        <w:t>: 05528361</w:t>
      </w:r>
    </w:p>
    <w:p w14:paraId="0A3FC945" w14:textId="77777777" w:rsidR="001B33A6" w:rsidRDefault="001B33A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5. Міжміський код та телефон, факс: (04594)79-115 (04594)79-114</w:t>
      </w:r>
    </w:p>
    <w:p w14:paraId="4C190341" w14:textId="77777777" w:rsidR="001B33A6" w:rsidRPr="00E7370A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6. </w:t>
      </w:r>
      <w:r w:rsidR="004C3CCA" w:rsidRPr="004C3CCA">
        <w:rPr>
          <w:sz w:val="28"/>
          <w:szCs w:val="28"/>
        </w:rPr>
        <w:t>Адреса електронної пошти</w:t>
      </w:r>
      <w:r>
        <w:rPr>
          <w:sz w:val="28"/>
          <w:szCs w:val="28"/>
          <w:lang w:val="ru-RU"/>
        </w:rPr>
        <w:t>: info@teplichny.pat.ua</w:t>
      </w:r>
    </w:p>
    <w:p w14:paraId="769EAE60" w14:textId="77777777" w:rsidR="000304CB" w:rsidRPr="00107F3B" w:rsidRDefault="000304CB">
      <w:pPr>
        <w:pStyle w:val="a4"/>
        <w:spacing w:before="0" w:after="0"/>
        <w:rPr>
          <w:sz w:val="28"/>
          <w:szCs w:val="28"/>
        </w:rPr>
      </w:pPr>
      <w:r w:rsidRPr="000304CB">
        <w:rPr>
          <w:sz w:val="28"/>
          <w:szCs w:val="28"/>
          <w:lang w:val="en-US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інформації від</w:t>
      </w:r>
      <w:r>
        <w:rPr>
          <w:sz w:val="28"/>
          <w:szCs w:val="28"/>
          <w:lang w:val="en-US"/>
        </w:rPr>
        <w:t xml:space="preserve"> імені учасника фондового ринку: Державна установа «Агентство з розвитку інфраструктури фондового ринку України»</w:t>
      </w:r>
      <w:r w:rsidRPr="000304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21676262</w:t>
      </w:r>
      <w:r w:rsidRPr="000304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УКРАЇНА</w:t>
      </w:r>
      <w:r w:rsidRPr="000304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DR/00001/APA</w:t>
      </w:r>
    </w:p>
    <w:p w14:paraId="409489F1" w14:textId="77777777" w:rsidR="00E746E7" w:rsidRPr="00107F3B" w:rsidRDefault="00E746E7">
      <w:pPr>
        <w:pStyle w:val="a4"/>
        <w:spacing w:before="0" w:after="0"/>
        <w:rPr>
          <w:sz w:val="28"/>
          <w:szCs w:val="28"/>
        </w:rPr>
      </w:pPr>
      <w:r w:rsidRPr="00E7370A">
        <w:rPr>
          <w:sz w:val="28"/>
          <w:szCs w:val="28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 Державна установа «Агентство з розвитку інфраструктури фондового ринку України», 21676262, УКРАЇНА, DR/00002/ARM</w:t>
      </w:r>
    </w:p>
    <w:p w14:paraId="1D7CC023" w14:textId="77777777" w:rsidR="00ED5BD3" w:rsidRPr="00E7370A" w:rsidRDefault="001B33A6" w:rsidP="009F480F">
      <w:pPr>
        <w:pStyle w:val="3"/>
        <w:spacing w:before="120"/>
        <w:jc w:val="center"/>
        <w:rPr>
          <w:rFonts w:ascii="Times New Roman" w:hAnsi="Times New Roman" w:cs="Times New Roman"/>
          <w:lang w:val="ru-RU"/>
        </w:rPr>
      </w:pPr>
      <w:r w:rsidRPr="00987DCF">
        <w:rPr>
          <w:rFonts w:ascii="Times New Roman" w:hAnsi="Times New Roman" w:cs="Times New Roman"/>
        </w:rPr>
        <w:lastRenderedPageBreak/>
        <w:t>ІІ. Дані про дату та місце оприлюднення Повідомлення</w:t>
      </w:r>
    </w:p>
    <w:p w14:paraId="55E3D388" w14:textId="77777777" w:rsidR="001B33A6" w:rsidRPr="00ED5BD3" w:rsidRDefault="001B33A6" w:rsidP="00ED5BD3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87DCF">
        <w:rPr>
          <w:rFonts w:ascii="Times New Roman" w:hAnsi="Times New Roman" w:cs="Times New Roman"/>
        </w:rPr>
        <w:t>(Повідомлення про інформацію)</w:t>
      </w:r>
      <w:r w:rsidRPr="00ED5B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Ind w:w="107" w:type="dxa"/>
        <w:tblLook w:val="0000" w:firstRow="0" w:lastRow="0" w:firstColumn="0" w:lastColumn="0" w:noHBand="0" w:noVBand="0"/>
      </w:tblPr>
      <w:tblGrid>
        <w:gridCol w:w="3016"/>
        <w:gridCol w:w="244"/>
        <w:gridCol w:w="4517"/>
        <w:gridCol w:w="244"/>
        <w:gridCol w:w="2184"/>
      </w:tblGrid>
      <w:tr w:rsidR="00F039F4" w14:paraId="10A4ADA8" w14:textId="77777777" w:rsidTr="00F039F4">
        <w:trPr>
          <w:cantSplit/>
        </w:trPr>
        <w:tc>
          <w:tcPr>
            <w:tcW w:w="2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36F9ED" w14:textId="77777777" w:rsidR="00F039F4" w:rsidRPr="00ED5BD3" w:rsidRDefault="00F039F4" w:rsidP="00ED5BD3">
            <w:pPr>
              <w:rPr>
                <w:sz w:val="24"/>
                <w:szCs w:val="24"/>
              </w:rPr>
            </w:pPr>
            <w:r w:rsidRPr="00ED5BD3">
              <w:rPr>
                <w:sz w:val="24"/>
                <w:szCs w:val="24"/>
              </w:rPr>
              <w:t>Повідомлення розміщено на  власному</w:t>
            </w:r>
            <w:r w:rsidRPr="00E7370A">
              <w:rPr>
                <w:sz w:val="24"/>
                <w:szCs w:val="24"/>
                <w:lang w:val="ru-RU"/>
              </w:rPr>
              <w:t xml:space="preserve"> </w:t>
            </w:r>
            <w:r w:rsidRPr="00ED5BD3">
              <w:rPr>
                <w:sz w:val="24"/>
                <w:szCs w:val="24"/>
              </w:rPr>
              <w:t>веб-сайті учасника фондового ринку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781EB3B0" w14:textId="77777777" w:rsidR="00F039F4" w:rsidRPr="00E7370A" w:rsidRDefault="00F039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068CA" w14:textId="77777777" w:rsidR="00F039F4" w:rsidRPr="00ED5BD3" w:rsidRDefault="00F039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http://teplichny.pat.ua/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0DEFB" w14:textId="77777777"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7159C" w14:textId="77777777" w:rsidR="00F039F4" w:rsidRDefault="00F039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12.10.2021</w:t>
            </w:r>
          </w:p>
        </w:tc>
      </w:tr>
      <w:tr w:rsidR="00F039F4" w14:paraId="4C2A420A" w14:textId="77777777" w:rsidTr="00F039F4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A6D16A" w14:textId="77777777"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52BC864C" w14:textId="77777777" w:rsidR="00F039F4" w:rsidRDefault="00F039F4" w:rsidP="00ED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9017F" w14:textId="77777777" w:rsidR="00F039F4" w:rsidRDefault="00F039F4" w:rsidP="00ED5BD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="00E746E7">
              <w:rPr>
                <w:sz w:val="18"/>
                <w:szCs w:val="18"/>
                <w:lang w:val="en-US"/>
              </w:rPr>
              <w:t>URL-</w:t>
            </w:r>
            <w:r>
              <w:rPr>
                <w:sz w:val="18"/>
                <w:szCs w:val="18"/>
              </w:rPr>
              <w:t xml:space="preserve">адреса </w:t>
            </w:r>
            <w:r w:rsidR="00E746E7">
              <w:rPr>
                <w:sz w:val="18"/>
                <w:szCs w:val="18"/>
              </w:rPr>
              <w:t>веб-сайту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3B3E61" w14:textId="77777777"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4CF87" w14:textId="77777777" w:rsidR="00F039F4" w:rsidRDefault="00F0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14:paraId="0C3444DD" w14:textId="345BE345" w:rsidR="00555B28" w:rsidRDefault="00555B28" w:rsidP="00EC36C6"/>
    <w:p w14:paraId="442AAFB3" w14:textId="77777777" w:rsidR="00555B28" w:rsidRDefault="00555B28">
      <w:pPr>
        <w:autoSpaceDE/>
        <w:autoSpaceDN/>
        <w:spacing w:after="200" w:line="276" w:lineRule="auto"/>
      </w:pPr>
      <w:r>
        <w:br w:type="page"/>
      </w:r>
    </w:p>
    <w:p w14:paraId="28E72267" w14:textId="77777777" w:rsidR="00555B28" w:rsidRPr="009759E1" w:rsidRDefault="00555B28" w:rsidP="00555B28">
      <w:pPr>
        <w:pStyle w:val="3"/>
        <w:jc w:val="center"/>
        <w:rPr>
          <w:sz w:val="28"/>
          <w:szCs w:val="28"/>
        </w:rPr>
      </w:pPr>
      <w:r w:rsidRPr="009759E1">
        <w:rPr>
          <w:sz w:val="28"/>
          <w:szCs w:val="28"/>
        </w:rPr>
        <w:lastRenderedPageBreak/>
        <w:t>Відомості про прийняття рішення про надання згоди на вчинення правочинів, щодо вчинення яких є заінтересованість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980"/>
        <w:gridCol w:w="941"/>
        <w:gridCol w:w="797"/>
        <w:gridCol w:w="1001"/>
        <w:gridCol w:w="999"/>
        <w:gridCol w:w="999"/>
        <w:gridCol w:w="999"/>
        <w:gridCol w:w="992"/>
        <w:gridCol w:w="992"/>
        <w:gridCol w:w="996"/>
      </w:tblGrid>
      <w:tr w:rsidR="00555B28" w:rsidRPr="00924509" w14:paraId="40DB0F76" w14:textId="77777777" w:rsidTr="006D4B61">
        <w:tc>
          <w:tcPr>
            <w:tcW w:w="242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461F89A2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924509">
              <w:rPr>
                <w:sz w:val="20"/>
                <w:szCs w:val="20"/>
              </w:rPr>
              <w:t xml:space="preserve"> </w:t>
            </w:r>
            <w:r w:rsidRPr="00924509">
              <w:rPr>
                <w:sz w:val="20"/>
                <w:szCs w:val="20"/>
              </w:rPr>
              <w:br/>
              <w:t>з/п </w:t>
            </w:r>
          </w:p>
        </w:tc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2EFD8E1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924509">
              <w:rPr>
                <w:sz w:val="20"/>
                <w:szCs w:val="20"/>
              </w:rPr>
              <w:t>Дата прийняття рішення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65FFF17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924509">
              <w:rPr>
                <w:sz w:val="20"/>
                <w:szCs w:val="20"/>
              </w:rPr>
              <w:t>Ринкова вартість майна або послуг, що є предметом правочину</w:t>
            </w:r>
          </w:p>
          <w:p w14:paraId="2BC9D68B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924509">
              <w:rPr>
                <w:sz w:val="20"/>
                <w:szCs w:val="20"/>
              </w:rPr>
              <w:t>(тис. грн)</w:t>
            </w:r>
          </w:p>
        </w:tc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386D62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924509">
              <w:rPr>
                <w:sz w:val="20"/>
                <w:szCs w:val="20"/>
              </w:rPr>
              <w:t>Вартість активів емітента за даними останньої річної фінансової звітності</w:t>
            </w:r>
          </w:p>
          <w:p w14:paraId="04C92F1B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924509">
              <w:rPr>
                <w:sz w:val="20"/>
                <w:szCs w:val="20"/>
              </w:rPr>
              <w:t>(тис. грн)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3520E4DE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924509">
              <w:rPr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</w:t>
            </w:r>
          </w:p>
          <w:p w14:paraId="49F8EC1E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924509">
              <w:rPr>
                <w:sz w:val="20"/>
                <w:szCs w:val="20"/>
              </w:rPr>
              <w:t>(у відсотках)</w:t>
            </w:r>
          </w:p>
        </w:tc>
        <w:tc>
          <w:tcPr>
            <w:tcW w:w="14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D872212" w14:textId="77777777" w:rsidR="00555B28" w:rsidRPr="00DC327C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DC327C">
              <w:rPr>
                <w:sz w:val="20"/>
                <w:szCs w:val="20"/>
              </w:rPr>
              <w:t>Особа, заінтересована у вчиненні акціонерним товариством правочину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114F" w14:textId="77777777" w:rsidR="00555B28" w:rsidRPr="007F3C97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DC327C">
              <w:rPr>
                <w:sz w:val="20"/>
                <w:szCs w:val="20"/>
              </w:rPr>
              <w:t>Інформація щодо афілійованої особи акціонера або посадової особи органу акціонерного товариства</w:t>
            </w:r>
            <w:r w:rsidRPr="007F3C97">
              <w:rPr>
                <w:sz w:val="20"/>
                <w:szCs w:val="20"/>
              </w:rPr>
              <w:t>*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14:paraId="662BFECE" w14:textId="77777777" w:rsidR="00555B28" w:rsidRPr="007F3C97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URL</w:t>
            </w:r>
            <w:r w:rsidRPr="007F3C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</w:t>
            </w:r>
            <w:r w:rsidRPr="00DC327C">
              <w:rPr>
                <w:sz w:val="20"/>
                <w:szCs w:val="20"/>
              </w:rPr>
              <w:t xml:space="preserve">дреса сторінки власного веб-сайту, на якій розміщений </w:t>
            </w:r>
            <w:r>
              <w:rPr>
                <w:sz w:val="20"/>
                <w:szCs w:val="20"/>
              </w:rPr>
              <w:t xml:space="preserve">витяг з </w:t>
            </w:r>
            <w:r w:rsidRPr="00DC327C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>у</w:t>
            </w:r>
            <w:r w:rsidRPr="00DC327C">
              <w:rPr>
                <w:sz w:val="20"/>
                <w:szCs w:val="20"/>
              </w:rPr>
              <w:t xml:space="preserve"> загальних зборів акціонерів/засідання наглядової ради, на яких/якому прийняте рішення</w:t>
            </w:r>
            <w:r w:rsidRPr="007F3C97">
              <w:rPr>
                <w:sz w:val="20"/>
                <w:szCs w:val="20"/>
              </w:rPr>
              <w:t>**</w:t>
            </w:r>
          </w:p>
        </w:tc>
      </w:tr>
      <w:tr w:rsidR="00555B28" w:rsidRPr="00924509" w14:paraId="1F02F15F" w14:textId="77777777" w:rsidTr="006D4B61">
        <w:tc>
          <w:tcPr>
            <w:tcW w:w="242" w:type="pct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2EECE78D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BE337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88A67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24797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14:paraId="1B315236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2B99BD" w14:textId="77777777" w:rsidR="00555B28" w:rsidRPr="00DC327C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DC327C">
              <w:rPr>
                <w:sz w:val="20"/>
                <w:szCs w:val="20"/>
              </w:rPr>
              <w:t>тип особи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14:paraId="79B5C35F" w14:textId="77777777" w:rsidR="00555B28" w:rsidRPr="00DC327C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DC327C">
              <w:rPr>
                <w:sz w:val="20"/>
                <w:szCs w:val="20"/>
              </w:rPr>
              <w:t>найменування юридичної особи або прізвище, ім’я, по батькові фізичної особи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14:paraId="4D14F9F0" w14:textId="77777777" w:rsidR="00555B28" w:rsidRPr="00DC327C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DC327C">
              <w:rPr>
                <w:sz w:val="20"/>
                <w:szCs w:val="20"/>
              </w:rPr>
              <w:t>ознака заінтересованості у вчиненні правочину</w:t>
            </w:r>
          </w:p>
        </w:tc>
        <w:tc>
          <w:tcPr>
            <w:tcW w:w="4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14:paraId="38C551B7" w14:textId="77777777" w:rsidR="00555B28" w:rsidRPr="00DC327C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DC327C">
              <w:rPr>
                <w:sz w:val="20"/>
                <w:szCs w:val="20"/>
              </w:rPr>
              <w:t>характер афілійованості</w:t>
            </w:r>
          </w:p>
        </w:tc>
        <w:tc>
          <w:tcPr>
            <w:tcW w:w="4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14:paraId="04DCB80B" w14:textId="77777777" w:rsidR="00555B28" w:rsidRPr="00DC327C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DC327C">
              <w:rPr>
                <w:sz w:val="20"/>
                <w:szCs w:val="20"/>
              </w:rPr>
              <w:t>прізвище, ім’я, по батькові посадової особи/ найменування юридичної особи або прізвище, ім’я, по батькові фізичної особи — акціонера</w:t>
            </w:r>
          </w:p>
        </w:tc>
        <w:tc>
          <w:tcPr>
            <w:tcW w:w="487" w:type="pct"/>
            <w:vMerge/>
            <w:tcBorders>
              <w:left w:val="outset" w:sz="6" w:space="0" w:color="auto"/>
              <w:bottom w:val="outset" w:sz="6" w:space="0" w:color="auto"/>
            </w:tcBorders>
          </w:tcPr>
          <w:p w14:paraId="228D3A51" w14:textId="77777777" w:rsidR="00555B28" w:rsidRPr="00924509" w:rsidRDefault="00555B28" w:rsidP="006D4B61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555B28" w:rsidRPr="00924509" w14:paraId="07066500" w14:textId="77777777" w:rsidTr="006D4B61"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288FA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1 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DB2E4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2 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4A705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3 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874FC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4 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F3CBF4A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5 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834841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77E5AA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B294EF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08570F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00CA2A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58A6DD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555B28" w:rsidRPr="00924509" w14:paraId="5ECECA24" w14:textId="77777777" w:rsidTr="006D4B61"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D5618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C86D2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D17A7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216000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15B0D" w14:textId="77777777" w:rsidR="00555B28" w:rsidRPr="00924509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586310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9EE574" w14:textId="77777777" w:rsidR="00555B28" w:rsidRDefault="00555B28" w:rsidP="006D4B61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36,84058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D563EA" w14:textId="77777777" w:rsidR="00555B28" w:rsidRPr="00924509" w:rsidRDefault="00555B28" w:rsidP="006D4B61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Посадова особа органу акціонерного товариства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566DA81" w14:textId="77777777" w:rsidR="00555B28" w:rsidRPr="00924509" w:rsidRDefault="00555B28" w:rsidP="006D4B61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Чернишенко Володимир Ілліч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D9602D" w14:textId="77777777" w:rsidR="00555B28" w:rsidRPr="00924509" w:rsidRDefault="00555B28" w:rsidP="006D4B61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Особа здійснює контроль над юридичною особою, яка є іншою стороною правочину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4B8BF7" w14:textId="77777777" w:rsidR="00555B28" w:rsidRPr="00924509" w:rsidRDefault="00555B28" w:rsidP="006D4B61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Юридична особа і фізична особа та члени її сім’ї, якщо ця фізична особа здійснює контроль над юридичною особою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4578F7" w14:textId="77777777" w:rsidR="00555B28" w:rsidRPr="00924509" w:rsidRDefault="00555B28" w:rsidP="006D4B61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ТОВ «ТД «КАЛИНІВКА-ПРЕМІУМ» (ЄДРПОУ 38947036), Чернишенко Євгеній Володимирович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3E8DB3" w14:textId="77777777" w:rsidR="00555B28" w:rsidRPr="00DC327C" w:rsidRDefault="00555B28" w:rsidP="006D4B61">
            <w:pPr>
              <w:pStyle w:val="a4"/>
              <w:rPr>
                <w:sz w:val="20"/>
                <w:szCs w:val="20"/>
                <w:lang w:val="en-US"/>
              </w:rPr>
            </w:pPr>
          </w:p>
        </w:tc>
      </w:tr>
      <w:tr w:rsidR="00555B28" w:rsidRPr="00924509" w14:paraId="7AD8E2A1" w14:textId="77777777" w:rsidTr="006D4B61">
        <w:tc>
          <w:tcPr>
            <w:tcW w:w="5000" w:type="pct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3E2DB72C" w14:textId="77777777" w:rsidR="00555B28" w:rsidRPr="00924509" w:rsidRDefault="00555B28" w:rsidP="006D4B61">
            <w:pPr>
              <w:pStyle w:val="a4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Зміст інформації:</w:t>
            </w:r>
          </w:p>
        </w:tc>
      </w:tr>
      <w:tr w:rsidR="00555B28" w:rsidRPr="00924509" w14:paraId="12286405" w14:textId="77777777" w:rsidTr="006D4B61">
        <w:tc>
          <w:tcPr>
            <w:tcW w:w="5000" w:type="pct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6D7B3DE9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Дата прийняття загальними зборами акціонерів ПРИВАТНОГО АКЦIОНЕРНОГО ТОВАРИСТВА «КОМБІНАТ «ТЕПЛИЧНИЙ» (надалі - Товариство)  рiшення про попереднє надання згоди на вчинення значних правочинiв: 11.10.2021 (протокол № 2-2021 вiд 11.10.2021).</w:t>
            </w:r>
          </w:p>
          <w:p w14:paraId="2C030490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</w:p>
          <w:p w14:paraId="0AD2D7F7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Ринкова вартість майна або послуг чи сума коштів, що є предметом правочину, визначена відповідно до законодавства: 216000 тис.грн.</w:t>
            </w:r>
          </w:p>
          <w:p w14:paraId="55B3D56D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Вартість активів емітента за даними останньої річної фінансової звітності: 586310 тис.грн.</w:t>
            </w:r>
          </w:p>
          <w:p w14:paraId="6F0FA75D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Співвідношення ринкової вартості майна або послуг чи суми коштів, що є предметом правочину, до вартості активів емітента за даними останньої річної фінансової звітності (у відсотках): 36,84058%.</w:t>
            </w:r>
          </w:p>
          <w:p w14:paraId="469482C9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</w:p>
          <w:p w14:paraId="4A6A375B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Істотні умови правочину, а саме:</w:t>
            </w:r>
          </w:p>
          <w:p w14:paraId="67DA6BD5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передати в заставу / іпотеку (укласти відповідні договори) АТ «Райффайзен Банк» з метою забезпечення виконання зобов’язань ПрАТ «КОМБІНАТ «ТЕПЛИЧНИЙ» (ЄДРПОУ 05528361), ТОВ «ТД «КАЛИНІВКА-ПРЕМІУМ» (ЄДРПОУ 38947036), у тому числі тих, що виникнуть у майбутньому та які походять з умов Генерального договору на здійснення кредитних операцій (далі-ГД) з лімітом в еквіваленті 216 000 000 гривень 00 коп. (двісті шістнадцять мільйонів гривень 00 копійок) та строком до 31.12.2026 р. та договорів, що укладені та/або будуть укладені в рамках ГД та в межах зазначеного ліміту, наступне майно та Товариства:</w:t>
            </w:r>
          </w:p>
          <w:p w14:paraId="4167B90C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</w:p>
          <w:p w14:paraId="4332E610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Назва</w:t>
            </w:r>
            <w:r w:rsidRPr="00924509">
              <w:rPr>
                <w:sz w:val="20"/>
                <w:szCs w:val="20"/>
                <w:lang w:val="en-US"/>
              </w:rPr>
              <w:tab/>
              <w:t>: Комплекс</w:t>
            </w:r>
          </w:p>
          <w:p w14:paraId="12B0D273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 xml:space="preserve">Реєстраційний номер: </w:t>
            </w:r>
            <w:r w:rsidRPr="00924509">
              <w:rPr>
                <w:sz w:val="20"/>
                <w:szCs w:val="20"/>
                <w:lang w:val="en-US"/>
              </w:rPr>
              <w:tab/>
              <w:t>41209232212</w:t>
            </w:r>
          </w:p>
          <w:p w14:paraId="24864911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 xml:space="preserve">Адреса: </w:t>
            </w:r>
            <w:r w:rsidRPr="00924509">
              <w:rPr>
                <w:sz w:val="20"/>
                <w:szCs w:val="20"/>
                <w:lang w:val="en-US"/>
              </w:rPr>
              <w:tab/>
              <w:t>Україна, 07443, Київська обл., Броварський район, селище міського типу Калинівка, вул. Теплична, будинок 2</w:t>
            </w:r>
          </w:p>
          <w:p w14:paraId="4EADC8FF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</w:p>
          <w:p w14:paraId="7C04C4D6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 xml:space="preserve">Назва об’єкту нерухомості: </w:t>
            </w:r>
            <w:r w:rsidRPr="00924509">
              <w:rPr>
                <w:sz w:val="20"/>
                <w:szCs w:val="20"/>
                <w:lang w:val="en-US"/>
              </w:rPr>
              <w:tab/>
              <w:t>Земельна ділянка</w:t>
            </w:r>
          </w:p>
          <w:p w14:paraId="5E003CA7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 xml:space="preserve">Реєстраційний номер: </w:t>
            </w:r>
            <w:r w:rsidRPr="00924509">
              <w:rPr>
                <w:sz w:val="20"/>
                <w:szCs w:val="20"/>
                <w:lang w:val="en-US"/>
              </w:rPr>
              <w:tab/>
              <w:t>2311946332212</w:t>
            </w:r>
          </w:p>
          <w:p w14:paraId="4A23B6B2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Цільове призначення земельної ділянки</w:t>
            </w:r>
            <w:r w:rsidRPr="00924509">
              <w:rPr>
                <w:sz w:val="20"/>
                <w:szCs w:val="20"/>
                <w:lang w:val="en-US"/>
              </w:rPr>
              <w:tab/>
              <w:t>: Для ведення товарного сільськогосподарського виробництва</w:t>
            </w:r>
          </w:p>
          <w:p w14:paraId="5724B74F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Кадастровий номер земельної ділянки</w:t>
            </w:r>
            <w:r w:rsidRPr="00924509">
              <w:rPr>
                <w:sz w:val="20"/>
                <w:szCs w:val="20"/>
                <w:lang w:val="en-US"/>
              </w:rPr>
              <w:tab/>
              <w:t>: 3221283200:05:001:0008</w:t>
            </w:r>
          </w:p>
          <w:p w14:paraId="36993A13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</w:p>
          <w:p w14:paraId="2F55C5B7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Рухоме майно, згідно з додатком до згаданого протоколу.</w:t>
            </w:r>
          </w:p>
          <w:p w14:paraId="088EDD05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 xml:space="preserve"> </w:t>
            </w:r>
          </w:p>
          <w:p w14:paraId="6BC1ACA1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При прийнятті рішення враховано, що:</w:t>
            </w:r>
          </w:p>
          <w:p w14:paraId="000895F4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-  цією заставою забезпечуються усі зобов’язання за ГД та договорами/додатковими угодами, що будуть укладені в його межах, в тому числі щодо повернення кредитних коштів, сплати процентів та комісій, відшкодування коштів сплачених Банком третім особам згідно умов ГД, сплати штрафних санкцій, будь-яких інших платежів, що підлягають сплаті Банку.</w:t>
            </w:r>
          </w:p>
          <w:p w14:paraId="646D4FAF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- сума всіх укладених в межах ГД договорів та додаткових угод може перевищувати ліміт ГД, однак в  будь-якому випадку, протягом строку дії ГД на будь-яку дату загальний розмір основної суми заборгованості за всіма кредитними операціями не може перевищувати ліміт ГД.</w:t>
            </w:r>
          </w:p>
          <w:p w14:paraId="5096E68F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</w:p>
          <w:p w14:paraId="4817D856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Особа, заінтересованої у вчиненні акціонерним товариством правочину, відповідно до частини другої статті 71 Закону України "Про акціонерні товариства": Чернишенко Володимир Ілліч.</w:t>
            </w:r>
          </w:p>
          <w:p w14:paraId="55D333A8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Ознака заінтересованості, передбачена частиною третьою статті 71 Закону України "Про акціонерні товариства": особа здійснює контроль над юридичною особою, яка є іншою стороною правочину, а саме: Чернишенко Володимир Ілліч є батьком Чернишенка Євгенія Володимировича, який здійснює контроль над ТОВ «ТД «КАЛИНІВКА-ПРЕМІУМ» (ЄДРПОУ 38947036).</w:t>
            </w:r>
          </w:p>
          <w:p w14:paraId="22719AC3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</w:p>
          <w:p w14:paraId="7B4ADF70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Загальна кiлькiсть голосуючих з цього питання акцiй: 22 570 183.</w:t>
            </w:r>
          </w:p>
          <w:p w14:paraId="026AB929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 xml:space="preserve">Кiлькiсть голосуючих з цього питання акцiй, що зареєстрованi для участi у загальних зборах: 22 570 183. </w:t>
            </w:r>
          </w:p>
          <w:p w14:paraId="534E1BE8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 xml:space="preserve">Кiлькiсть голосуючих з цього питання акцiй, що проголосували "за" прийняття рiшення: 22 570 183. </w:t>
            </w:r>
          </w:p>
          <w:p w14:paraId="76916E18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Кiлькiсть голосуючих з цього питання акцiй, що проголосували "проти" прийняття рiшення: 0.</w:t>
            </w:r>
          </w:p>
          <w:p w14:paraId="44398541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Кiлькiсть голосуючих з цього питання акцiй, що утримались вiд  прийняття рiшення: 0.</w:t>
            </w:r>
          </w:p>
          <w:p w14:paraId="6DB9F63D" w14:textId="77777777" w:rsidR="00555B28" w:rsidRPr="00924509" w:rsidRDefault="00555B28" w:rsidP="006D4B61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24509">
              <w:rPr>
                <w:sz w:val="20"/>
                <w:szCs w:val="20"/>
                <w:lang w:val="en-US"/>
              </w:rPr>
              <w:t>Кількість акцiй, які  зареєструвалися для участі у Загальних зборах, не є голосуючими з цього питання і які не брали участі у голосуванні: 22 269 505.</w:t>
            </w:r>
          </w:p>
        </w:tc>
      </w:tr>
    </w:tbl>
    <w:p w14:paraId="3291CFFC" w14:textId="77777777" w:rsidR="00555B28" w:rsidRPr="007F3C97" w:rsidRDefault="00555B28" w:rsidP="00555B28">
      <w:pPr>
        <w:pStyle w:val="a4"/>
        <w:spacing w:before="0" w:after="0"/>
        <w:rPr>
          <w:sz w:val="16"/>
          <w:szCs w:val="16"/>
        </w:rPr>
      </w:pPr>
      <w:r>
        <w:lastRenderedPageBreak/>
        <w:t>____________</w:t>
      </w:r>
      <w:r>
        <w:br/>
        <w:t xml:space="preserve">* </w:t>
      </w:r>
      <w:r w:rsidRPr="007F3C97">
        <w:rPr>
          <w:sz w:val="16"/>
          <w:szCs w:val="16"/>
        </w:rPr>
        <w:t>Зазначається, якщо у графі 6 інформація стосується афілійованої особи.</w:t>
      </w:r>
      <w:r>
        <w:br/>
        <w:t xml:space="preserve">** </w:t>
      </w:r>
      <w:r w:rsidRPr="007F3C97">
        <w:rPr>
          <w:sz w:val="16"/>
          <w:szCs w:val="16"/>
        </w:rPr>
        <w:t>Заповнюють публічні акціонерні товариства.</w:t>
      </w:r>
    </w:p>
    <w:p w14:paraId="1EE4CAEB" w14:textId="77777777" w:rsidR="00555B28" w:rsidRPr="003B3CD1" w:rsidRDefault="00555B28" w:rsidP="00555B28">
      <w:pPr>
        <w:rPr>
          <w:lang w:val="en-US"/>
        </w:rPr>
      </w:pPr>
    </w:p>
    <w:p w14:paraId="295B731D" w14:textId="77777777" w:rsidR="001B33A6" w:rsidRDefault="001B33A6" w:rsidP="00EC36C6"/>
    <w:sectPr w:rsidR="001B33A6" w:rsidSect="00B3323A">
      <w:footerReference w:type="default" r:id="rId6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B1C9" w14:textId="77777777" w:rsidR="006D2C2C" w:rsidRDefault="006D2C2C">
      <w:r>
        <w:separator/>
      </w:r>
    </w:p>
  </w:endnote>
  <w:endnote w:type="continuationSeparator" w:id="0">
    <w:p w14:paraId="2173E945" w14:textId="77777777" w:rsidR="006D2C2C" w:rsidRDefault="006D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2E0E" w14:textId="77777777" w:rsidR="001B33A6" w:rsidRDefault="001B33A6">
    <w:pPr>
      <w:pStyle w:val="a7"/>
      <w:rPr>
        <w:lang w:val="en-US"/>
      </w:rPr>
    </w:pPr>
    <w:r>
      <w:rPr>
        <w:lang w:val="en-US"/>
      </w:rPr>
      <w:t xml:space="preserve">11.10.2021 </w:t>
    </w:r>
    <w:r>
      <w:t xml:space="preserve">р. </w:t>
    </w:r>
    <w:r>
      <w:rPr>
        <w:lang w:val="en-US"/>
      </w:rPr>
      <w:sym w:font="Symbol" w:char="F0D3"/>
    </w:r>
    <w:r>
      <w:rPr>
        <w:lang w:val="en-US"/>
      </w:rPr>
      <w:t>SMA 05528361</w:t>
    </w:r>
  </w:p>
  <w:p w14:paraId="3C109645" w14:textId="77777777" w:rsidR="001B33A6" w:rsidRDefault="001B33A6">
    <w:pPr>
      <w:pStyle w:val="a7"/>
      <w:rPr>
        <w:lang w:val="en-US"/>
      </w:rPr>
    </w:pPr>
  </w:p>
  <w:p w14:paraId="63619DF8" w14:textId="77777777" w:rsidR="001B33A6" w:rsidRDefault="001B33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199F" w14:textId="77777777" w:rsidR="006D2C2C" w:rsidRDefault="006D2C2C">
      <w:r>
        <w:separator/>
      </w:r>
    </w:p>
  </w:footnote>
  <w:footnote w:type="continuationSeparator" w:id="0">
    <w:p w14:paraId="4139FB26" w14:textId="77777777" w:rsidR="006D2C2C" w:rsidRDefault="006D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F5"/>
    <w:rsid w:val="000304CB"/>
    <w:rsid w:val="000712B5"/>
    <w:rsid w:val="00094CF5"/>
    <w:rsid w:val="00095537"/>
    <w:rsid w:val="000B4697"/>
    <w:rsid w:val="00107F3B"/>
    <w:rsid w:val="0015698C"/>
    <w:rsid w:val="001B33A6"/>
    <w:rsid w:val="004C3CCA"/>
    <w:rsid w:val="00555B28"/>
    <w:rsid w:val="006D2C2C"/>
    <w:rsid w:val="0072549A"/>
    <w:rsid w:val="007A4F01"/>
    <w:rsid w:val="007E1C71"/>
    <w:rsid w:val="008A1A85"/>
    <w:rsid w:val="008A1D83"/>
    <w:rsid w:val="008C5848"/>
    <w:rsid w:val="00987DCF"/>
    <w:rsid w:val="009D606E"/>
    <w:rsid w:val="009F480F"/>
    <w:rsid w:val="00A668CC"/>
    <w:rsid w:val="00A8441F"/>
    <w:rsid w:val="00AA6F67"/>
    <w:rsid w:val="00AD7369"/>
    <w:rsid w:val="00AE02A0"/>
    <w:rsid w:val="00AE7CE9"/>
    <w:rsid w:val="00B3323A"/>
    <w:rsid w:val="00B55B27"/>
    <w:rsid w:val="00BA2213"/>
    <w:rsid w:val="00C14898"/>
    <w:rsid w:val="00C30926"/>
    <w:rsid w:val="00E7370A"/>
    <w:rsid w:val="00E746E7"/>
    <w:rsid w:val="00EC36C6"/>
    <w:rsid w:val="00ED5BD3"/>
    <w:rsid w:val="00F039F4"/>
    <w:rsid w:val="00FF18CA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77550B6"/>
  <w14:defaultImageDpi w14:val="0"/>
  <w15:docId w15:val="{E8F08342-1FCF-41D2-9416-FA2EEBD1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b/>
      <w:bCs/>
      <w:sz w:val="26"/>
      <w:szCs w:val="26"/>
      <w:lang w:val="uk-UA" w:eastAsia="x-none"/>
    </w:rPr>
  </w:style>
  <w:style w:type="character" w:customStyle="1" w:styleId="70">
    <w:name w:val="Заголовок 7 Знак"/>
    <w:basedOn w:val="a0"/>
    <w:link w:val="7"/>
    <w:uiPriority w:val="99"/>
    <w:locked/>
    <w:rPr>
      <w:rFonts w:cs="Times New Roman"/>
      <w:sz w:val="24"/>
      <w:szCs w:val="24"/>
      <w:lang w:val="uk-UA" w:eastAsia="x-none"/>
    </w:rPr>
  </w:style>
  <w:style w:type="paragraph" w:customStyle="1" w:styleId="a3">
    <w:name w:val="Цитаты"/>
    <w:basedOn w:val="a"/>
    <w:uiPriority w:val="99"/>
    <w:pPr>
      <w:widowControl w:val="0"/>
      <w:spacing w:before="100" w:after="100"/>
      <w:ind w:left="360" w:right="360"/>
    </w:pPr>
    <w:rPr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  <w:lang w:val="uk-UA" w:eastAsia="x-none"/>
    </w:rPr>
  </w:style>
  <w:style w:type="paragraph" w:styleId="a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  <w:lang w:val="uk-UA" w:eastAsia="x-none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Tahoma" w:hAnsi="Tahoma" w:cs="Tahoma"/>
      <w:sz w:val="16"/>
      <w:szCs w:val="16"/>
      <w:lang w:val="uk-UA" w:eastAsia="x-none"/>
    </w:rPr>
  </w:style>
  <w:style w:type="table" w:styleId="ab">
    <w:name w:val="Table Grid"/>
    <w:basedOn w:val="a1"/>
    <w:uiPriority w:val="99"/>
    <w:rsid w:val="00BA221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2021-10-12T14:58:00Z</dcterms:created>
  <dcterms:modified xsi:type="dcterms:W3CDTF">2021-10-12T15:02:00Z</dcterms:modified>
</cp:coreProperties>
</file>